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2023年公共图书馆免费开放补助资金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木垒县图书馆本级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木垒县图书馆本级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郭素春</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推进图书馆免费开放，丰富人民群众的精神文化生活，充分发挥公共图书馆保障公民基本文化权益、提高公民鉴赏能力的重要作用，根据《关于推进全国美术馆公共图书馆文化馆（站）免费开放工作的意见》（文财务发[2011]5号）、《关于印发&lt;中央对地方公共图书馆 美术馆 文化馆（站）免费开放补助资金管理办法&gt;的通知》(财教〔2020〕156号)文件立项，设立了公共图书馆免费开放补助经费项目，主要用于免费开展基本公共文化服务。文件明确补助资金使用范围主要包括文献资源借阅、检索与咨询，举办公益性讲座、展览，开展阅读推广、宣传活动，基层文化骨干业务辅导，流动图书借阅与送书下乡服务，业务活动用房小型修缮及零星业务设备更新等支出。木垒县图书馆实施了公共图书馆免费开放补助经费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主要用于2023年公共图书馆免费开展基本公共文化服务工作。主要用于文献资源借阅、检索与咨询5.79万元，用于举办公益性讲座、展览1.61万元，用于开展阅读推广、宣传活动9.23万元，用于基层文化骨干业务辅导0.82万元，用于流动图书车送书下乡服务1.3万元，用于业务活动用房小型修缮0.43万元，用于零星业务设备更新0.82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木垒县图书馆已完成场馆全年免费开放（除疫情防控需要闭馆外）350日，接待读者67305人次，举办大型宣传推广活动4场，开展流动图书车送图书进基层33场次、线上线下公益培训讲座12场次、线上线下公益展览18场次，面向少儿阅读活动11场，社会公众满意率97%，完成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共图书馆免费开放补助经费项目资金于2022年12月22日昌吉州财政局下发的《关于提前下达2023年中央补助地方公共美术馆、公共图书馆、文化馆（站）免费开放补助资金预算的通知》（昌州财教[2022]63号）、《关于提前下达自治区2023年美术馆、公共图书馆、文化馆（站）免费开放补助资金预算的通知》（昌州财教[2022]71号）文件，安排资金为20万元，为上级财政资金</w:t>
      </w:r>
      <w:r>
        <w:rPr>
          <w:rStyle w:val="18"/>
          <w:rFonts w:hint="eastAsia" w:ascii="楷体" w:hAnsi="楷体" w:eastAsia="楷体"/>
          <w:b w:val="0"/>
          <w:bCs w:val="0"/>
          <w:spacing w:val="-4"/>
          <w:sz w:val="32"/>
          <w:szCs w:val="32"/>
          <w:lang w:val="en-US" w:eastAsia="zh-CN"/>
        </w:rPr>
        <w:t>18.8万元</w:t>
      </w:r>
      <w:r>
        <w:rPr>
          <w:rStyle w:val="18"/>
          <w:rFonts w:hint="eastAsia" w:ascii="楷体" w:hAnsi="楷体" w:eastAsia="楷体"/>
          <w:b w:val="0"/>
          <w:bCs w:val="0"/>
          <w:spacing w:val="-4"/>
          <w:sz w:val="32"/>
          <w:szCs w:val="32"/>
        </w:rPr>
        <w:t>，实际到位</w:t>
      </w:r>
      <w:r>
        <w:rPr>
          <w:rStyle w:val="18"/>
          <w:rFonts w:hint="eastAsia" w:ascii="楷体" w:hAnsi="楷体" w:eastAsia="楷体"/>
          <w:b w:val="0"/>
          <w:bCs w:val="0"/>
          <w:spacing w:val="-4"/>
          <w:sz w:val="32"/>
          <w:szCs w:val="32"/>
          <w:lang w:val="en-US" w:eastAsia="zh-CN"/>
        </w:rPr>
        <w:t>18.8</w:t>
      </w:r>
      <w:r>
        <w:rPr>
          <w:rStyle w:val="18"/>
          <w:rFonts w:hint="eastAsia" w:ascii="楷体" w:hAnsi="楷体" w:eastAsia="楷体"/>
          <w:b w:val="0"/>
          <w:bCs w:val="0"/>
          <w:spacing w:val="-4"/>
          <w:sz w:val="32"/>
          <w:szCs w:val="32"/>
        </w:rPr>
        <w:t>万元，资金到位率100%，实际执行</w:t>
      </w:r>
      <w:r>
        <w:rPr>
          <w:rStyle w:val="18"/>
          <w:rFonts w:hint="eastAsia" w:ascii="楷体" w:hAnsi="楷体" w:eastAsia="楷体"/>
          <w:b w:val="0"/>
          <w:bCs w:val="0"/>
          <w:spacing w:val="-4"/>
          <w:sz w:val="32"/>
          <w:szCs w:val="32"/>
          <w:lang w:val="en-US" w:eastAsia="zh-CN"/>
        </w:rPr>
        <w:t>18.8</w:t>
      </w:r>
      <w:r>
        <w:rPr>
          <w:rStyle w:val="18"/>
          <w:rFonts w:hint="eastAsia" w:ascii="楷体" w:hAnsi="楷体" w:eastAsia="楷体"/>
          <w:b w:val="0"/>
          <w:bCs w:val="0"/>
          <w:spacing w:val="-4"/>
          <w:sz w:val="32"/>
          <w:szCs w:val="32"/>
        </w:rPr>
        <w:t>万元，执行率100%，资金落实到位。</w:t>
      </w:r>
      <w:r>
        <w:rPr>
          <w:rStyle w:val="18"/>
          <w:rFonts w:hint="eastAsia" w:ascii="楷体" w:hAnsi="楷体" w:eastAsia="楷体"/>
          <w:b w:val="0"/>
          <w:bCs w:val="0"/>
          <w:spacing w:val="-4"/>
          <w:sz w:val="32"/>
          <w:szCs w:val="32"/>
          <w:lang w:val="en-US" w:eastAsia="zh-CN"/>
        </w:rPr>
        <w:t>本</w:t>
      </w:r>
      <w:r>
        <w:rPr>
          <w:rStyle w:val="18"/>
          <w:rFonts w:hint="eastAsia" w:ascii="楷体" w:hAnsi="楷体" w:eastAsia="楷体"/>
          <w:b w:val="0"/>
          <w:bCs w:val="0"/>
          <w:spacing w:val="-4"/>
          <w:sz w:val="32"/>
          <w:szCs w:val="32"/>
        </w:rPr>
        <w:t>级财政资金</w:t>
      </w:r>
      <w:r>
        <w:rPr>
          <w:rStyle w:val="18"/>
          <w:rFonts w:hint="eastAsia" w:ascii="楷体" w:hAnsi="楷体" w:eastAsia="楷体"/>
          <w:b w:val="0"/>
          <w:bCs w:val="0"/>
          <w:spacing w:val="-4"/>
          <w:sz w:val="32"/>
          <w:szCs w:val="32"/>
          <w:lang w:val="en-US" w:eastAsia="zh-CN"/>
        </w:rPr>
        <w:t>1.2万元</w:t>
      </w:r>
      <w:r>
        <w:rPr>
          <w:rStyle w:val="18"/>
          <w:rFonts w:hint="eastAsia" w:ascii="楷体" w:hAnsi="楷体" w:eastAsia="楷体"/>
          <w:b w:val="0"/>
          <w:bCs w:val="0"/>
          <w:spacing w:val="-4"/>
          <w:sz w:val="32"/>
          <w:szCs w:val="32"/>
        </w:rPr>
        <w:t>，实际到位</w:t>
      </w:r>
      <w:r>
        <w:rPr>
          <w:rStyle w:val="18"/>
          <w:rFonts w:hint="eastAsia" w:ascii="楷体" w:hAnsi="楷体" w:eastAsia="楷体"/>
          <w:b w:val="0"/>
          <w:bCs w:val="0"/>
          <w:spacing w:val="-4"/>
          <w:sz w:val="32"/>
          <w:szCs w:val="32"/>
          <w:lang w:val="en-US" w:eastAsia="zh-CN"/>
        </w:rPr>
        <w:t>1.2</w:t>
      </w:r>
      <w:r>
        <w:rPr>
          <w:rStyle w:val="18"/>
          <w:rFonts w:hint="eastAsia" w:ascii="楷体" w:hAnsi="楷体" w:eastAsia="楷体"/>
          <w:b w:val="0"/>
          <w:bCs w:val="0"/>
          <w:spacing w:val="-4"/>
          <w:sz w:val="32"/>
          <w:szCs w:val="32"/>
        </w:rPr>
        <w:t>万元，资金到位率100%，实际执行</w:t>
      </w:r>
      <w:r>
        <w:rPr>
          <w:rStyle w:val="18"/>
          <w:rFonts w:hint="eastAsia" w:ascii="楷体" w:hAnsi="楷体" w:eastAsia="楷体"/>
          <w:b w:val="0"/>
          <w:bCs w:val="0"/>
          <w:spacing w:val="-4"/>
          <w:sz w:val="32"/>
          <w:szCs w:val="32"/>
          <w:lang w:val="en-US" w:eastAsia="zh-CN"/>
        </w:rPr>
        <w:t>1.2</w:t>
      </w:r>
      <w:bookmarkStart w:id="0" w:name="_GoBack"/>
      <w:bookmarkEnd w:id="0"/>
      <w:r>
        <w:rPr>
          <w:rStyle w:val="18"/>
          <w:rFonts w:hint="eastAsia" w:ascii="楷体" w:hAnsi="楷体" w:eastAsia="楷体"/>
          <w:b w:val="0"/>
          <w:bCs w:val="0"/>
          <w:spacing w:val="-4"/>
          <w:sz w:val="32"/>
          <w:szCs w:val="32"/>
        </w:rPr>
        <w:t>万元，执行率100%，资金落实到位</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为确保项目资金的安全有效使用、安全运行，提高资金的使用效率，我单位严格按照木垒县图书馆财务会计内部控制制度执行，资金由财政预算管理一体化系统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木垒县公共图书馆正常开展阅读推广活动，完成流动图书车七进活动30场次以上，举办大型宣传活动3次以上，开展青少年教育活动，举办免费培训、讲座、展览等读者活动 ，以丰富群众精神文化生活。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2023年12月31日前完成流动图书七进活动33场次；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2023年12月31日前完成开展大型宣传活动4场，且活动中有未成年参与的比例达到55%以上；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2.3 2023年12月31日前完成免费培训讲座等读者活动12场，年培训学时达到人均20学时，且学员培训合格率达到90%；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2.4 2023年12月31日前完成面向少儿的阅读活动11场；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2.5 2023年12月31日前完成公共图书馆免费开放天数350日以上；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2.6 2023年12月31日前完成公共图书馆免费开放预算20万元，执行20万元，资金预算控制率100%；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2.7 2023年12月31日前完成公共图书馆全年安全事故0发生，100%正常运转；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2.8 2023年12月31日前社会公众对公共文化服务满意度达到96.99%以上。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上级财政下拨的木垒县公共图书馆免费开放补助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木垒县公共图书馆免费开放补助经费项目支出资金。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县公共图书馆免费开放补助经费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4月1日，我单位在收到自评工作任务后及时组织了绩效评价工作小组，其中郭素春为组长，主要负责工作安排，吐尔逊古丽·阿吾巴克尔为副组长，主要负责报告的审核、指导，李娟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 2024年4月3日，评价组通过前期调研确定绩效评价对象和范围，确定了评价的目的、方法以及评价的原则；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2024年4月3日，根据项目的实施内容和特征制定了评价指标体系及评价标准以及评价实施方案，修正并确定所需资料清单，最终确定绩效评价工作方案；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2024年4月7日- 4月12日，评价工作进入实施阶段：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2024年4月15日- 4月19日，评价组按照绩效评价的原则和规范，对取得的资料进行审查核实，对采集的数据进行分析，按照绩效评价指标评分表逐项进行打分、分析，汇总各方评价结果，综合分析并形成评价结论。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图书馆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t>项目决策</w:t>
      </w:r>
      <w:r>
        <w:rPr>
          <w:rStyle w:val="18"/>
          <w:rFonts w:hint="eastAsia" w:ascii="楷体" w:hAnsi="楷体" w:eastAsia="楷体"/>
          <w:b w:val="0"/>
          <w:bCs w:val="0"/>
          <w:spacing w:val="-4"/>
          <w:sz w:val="32"/>
          <w:szCs w:val="32"/>
        </w:rPr>
        <w:tab/>
        <w:t>项目过程</w:t>
      </w:r>
      <w:r>
        <w:rPr>
          <w:rStyle w:val="18"/>
          <w:rFonts w:hint="eastAsia" w:ascii="楷体" w:hAnsi="楷体" w:eastAsia="楷体"/>
          <w:b w:val="0"/>
          <w:bCs w:val="0"/>
          <w:spacing w:val="-4"/>
          <w:sz w:val="32"/>
          <w:szCs w:val="32"/>
        </w:rPr>
        <w:tab/>
        <w:t>项目产出</w:t>
      </w:r>
      <w:r>
        <w:rPr>
          <w:rStyle w:val="18"/>
          <w:rFonts w:hint="eastAsia" w:ascii="楷体" w:hAnsi="楷体" w:eastAsia="楷体"/>
          <w:b w:val="0"/>
          <w:bCs w:val="0"/>
          <w:spacing w:val="-4"/>
          <w:sz w:val="32"/>
          <w:szCs w:val="32"/>
        </w:rPr>
        <w:tab/>
        <w:t>项目效益</w:t>
      </w:r>
      <w:r>
        <w:rPr>
          <w:rStyle w:val="18"/>
          <w:rFonts w:hint="eastAsia" w:ascii="楷体" w:hAnsi="楷体" w:eastAsia="楷体"/>
          <w:b w:val="0"/>
          <w:bCs w:val="0"/>
          <w:spacing w:val="-4"/>
          <w:sz w:val="32"/>
          <w:szCs w:val="32"/>
        </w:rPr>
        <w:tab/>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50</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48</w:t>
      </w:r>
      <w:r>
        <w:rPr>
          <w:rStyle w:val="18"/>
          <w:rFonts w:hint="eastAsia" w:ascii="楷体" w:hAnsi="楷体" w:eastAsia="楷体"/>
          <w:b w:val="0"/>
          <w:bCs w:val="0"/>
          <w:spacing w:val="-4"/>
          <w:sz w:val="32"/>
          <w:szCs w:val="32"/>
        </w:rPr>
        <w:tab/>
        <w:t>17</w:t>
      </w:r>
      <w:r>
        <w:rPr>
          <w:rStyle w:val="18"/>
          <w:rFonts w:hint="eastAsia" w:ascii="楷体" w:hAnsi="楷体" w:eastAsia="楷体"/>
          <w:b w:val="0"/>
          <w:bCs w:val="0"/>
          <w:spacing w:val="-4"/>
          <w:sz w:val="32"/>
          <w:szCs w:val="32"/>
        </w:rPr>
        <w:tab/>
        <w:t>95</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项目立项依据《关于推进全国美术馆公共图书馆文化馆（站）免费开放工作的意见》（文财务发[2011]5号）、《关于印发&lt;中央对地方公共图书馆 美术馆 文化馆（站）免费开放补助资金管理办法&gt;的通知》(财教〔2020〕156号)和2022年12月22日昌吉州财政局下发的《关于提前下达2023年中央补助地方公共美术馆、公共图书馆、文化馆（站）免费开放补助资金预算的通知》（昌州财教[2022]63号）、《关于提前下达自治区2023年美术馆、公共图书馆、文化馆（站）免费开放补助资金预算的通知》（昌州财教[2022]71号）文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共图书馆免费开放补助经费项目设立了项目绩效目标，与《2023年全区各级公共图书馆活动内容清单》要求年度活动规定动作、地方自主活动品牌、分级指标量化等考核内容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共图书馆免费开放补助经费项目将项目绩效目标细化分解为具体的绩效指标，一级指标共4条，二级指标共7条，三级指标共13条，其中量化指标条数共13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开展内容及数量严格按照《2023年全区各级公共图书馆活动内容清单》要求计算，项目预算编制根据项目建设内容进行计算，预算数经过木垒县图书馆馆委会会议讨论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本项目预算资金分配额度无偏低或偏高情况，分配额度合理。项目单位为木垒县图书馆位于木垒县，资金分配与单位实际相适应。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实际到位资金20万元，预算资金20万元，资金到位率100%。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年初预算数20万元，全年预算数20万元，全年执行数20万元，预算执行率为100%。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县财政局金拨付审批程序进行：由木垒县图书馆业务科室提交业务资金使用申请到分管领导，经审批后提交到馆委会审核，超过0.2万元再提交至文旅局党组会议审批，审批同意后由图书馆出纳在预算管理一体化系统填报单位用款计划，经财政局文行科审核、财政局国库科审批后，图书馆出纳提交资金支付流程，财政局文行科和国库支付审批后，提交银行支付。项目资金拨付手续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文件规定的用途为：文献资源借阅、检索与咨询，举办公益性讲座、展览，开展阅读推广、宣传活动，基层文化骨干业务辅导，流动图书借阅与送书下乡服务，业务活动用房小型修缮及零星业务设备更新等支出。符合项目预算批复及文件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项目资金截至2023年12月31日已拨付至100%，过程不存在截留、挤占、挪用、虚列支出等情况。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本项目已制定《木垒县图书馆免费开放专项资金管理办法》管理制度健全；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木垒县文旅局、财政局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公共图书馆免费开放补助经费项目截止到2023年12月31日，已完成流动图书车进基层活动34场次，大型阅读推广宣传活动4场，公益讲座培训12场，少儿阅读活动11场，人均年培训20学时，场馆免费开放365天，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指标1：流动图书进基层活动，指标值：≥30场次，实际完成值34场次，指标完成率为113%，偏差原因：超额完成年度目标，年中调整工作计划增加工作任务；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指标2：举办大型阅读推广宣传活动，指标值：≥3场，实际完成值4场，指标完成率为133%，偏差原因：超额完成年度目标，年中调整工作计划增加工作任务；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指标3：举办公益讲座培训，指标值：≥9场，实际完成值11场，指标完成率为133%，偏差原因：超额完成年度目标，年中调整工作计划增加工作任务；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指标4：组织少儿阅读活动数，指标值：≥5场，实际完成值11场，指标完成率为220%，偏差原因：超额完成年度目标，年中调整工作计划增加工作任务；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指标1：大型宣传活动未成年参与人数占比，指标值：≥50%，实际完成值55%，指标完成率是110%，偏差原因：超额完成年度目标，年中调整工作计划增加工作任务；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指标2：学员培训合格率，指标值：≥90%，实际完成值90%，指标完成率100%；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指标3：基层业务辅导覆盖率，指标值：≥80%，实际完成值80%，指标完成率100%；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指标1：开展各类培训学时，指标值：≥20学时，实际完成值20学时，指标完成率100%；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指标2：免费开放天数，指标值：≥300天，实际完成值350天，指标完成率为122%，偏差原因：超额完成年度目标，年中调整工作计划增加工作任务；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经济成本指标1：预算控制率，指标值：=100%，实际完成值100%，指标完成率100%；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社会成本指标1：举办活动时安全事故发生率，指标值：=0%，实际完成值0%，指标完成率100%。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我单位公共图书馆免费开放补助经费项目截止到2023年12月31日，已完成1个效益指标、1个满意度指标；其中：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指标1：公共图书馆正常运转率，指标值：≥99%，实际完成值100%，指标完成率100%；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指标1：社会公众对公共图书馆公共文化服务满意度，指标值：≥95%，实际完成值96.99%，指标完成率100%。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根据木垒县图书馆免费开放活动开展进度，木垒县财政局于2023年1月1日拨付20万元至木垒县图书馆。截至2023年12月31日已执行20万元，预算执行率100%。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绩效指标存在偏差的有：流动图书进基层活动指标、举办大型阅读推广宣传活动指标、举办公益讲座培训指标、组织少儿阅读活动数指标、大型宣传活动未成年参与人数占比指标、免费开放天数指标，偏差原因：超额完成年度目标，年中调整工作计划增加工作任务。</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1.主要经验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进一步加强项目管理和协调服务，全力推进项目建设。推行月报支付，进一步加强项目监管力度。每月定期督查项目开展进度、资金使用等推进情况，实行动态监管。进一步加强项目协调推动机制，协调帮助解决项目推进中的困难和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（4）开展“滋养民族心灵 培育文化自信”主题全民阅读活动，开展全民阅读启动仪式、送阅读进基层、公益培训讲座、展览、读书活动等阅读推广活动，提升社会公众对公共图书馆的知晓率，提升公共文化服务满意率，助力乡村振兴。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我们将进一步加强资金管理、项目管理，用制度、用规范来有效提高项目进度，专人负责资金、专人负责项目现场管理，确保该项目在既定时间内完成所有活动，达到预期效果。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健全制度，加强督促。针对项目实施中存在的问题，进一步完善相关制度，加强督促检查，确保项目质量及进度；同时及时完善资料，妥善保管档案。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1B5D3D9F"/>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TotalTime>
  <ScaleCrop>false</ScaleCrop>
  <LinksUpToDate>false</LinksUpToDate>
  <CharactersWithSpaces>623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2024-08-13T05:19:34Z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